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8F3" w:rsidRPr="006B78F3" w:rsidRDefault="006B78F3" w:rsidP="006B78F3">
      <w:pPr>
        <w:widowControl/>
        <w:shd w:val="clear" w:color="auto" w:fill="FBFBFB"/>
        <w:spacing w:after="300" w:line="525" w:lineRule="atLeast"/>
        <w:jc w:val="center"/>
        <w:outlineLvl w:val="0"/>
        <w:rPr>
          <w:rFonts w:ascii="微软雅黑" w:eastAsia="微软雅黑" w:hAnsi="微软雅黑" w:cs="宋体"/>
          <w:b/>
          <w:bCs/>
          <w:color w:val="555555"/>
          <w:kern w:val="36"/>
          <w:sz w:val="30"/>
          <w:szCs w:val="30"/>
        </w:rPr>
      </w:pPr>
      <w:r>
        <w:rPr>
          <w:rFonts w:ascii="微软雅黑" w:eastAsia="微软雅黑" w:hAnsi="微软雅黑" w:cs="宋体" w:hint="eastAsia"/>
          <w:b/>
          <w:bCs/>
          <w:color w:val="555555"/>
          <w:kern w:val="36"/>
          <w:sz w:val="30"/>
          <w:szCs w:val="30"/>
        </w:rPr>
        <w:t>开放</w:t>
      </w:r>
      <w:r>
        <w:rPr>
          <w:rFonts w:ascii="微软雅黑" w:eastAsia="微软雅黑" w:hAnsi="微软雅黑" w:cs="宋体"/>
          <w:b/>
          <w:bCs/>
          <w:color w:val="555555"/>
          <w:kern w:val="36"/>
          <w:sz w:val="30"/>
          <w:szCs w:val="30"/>
        </w:rPr>
        <w:t>课题</w:t>
      </w:r>
      <w:r w:rsidRPr="006B78F3">
        <w:rPr>
          <w:rFonts w:ascii="微软雅黑" w:eastAsia="微软雅黑" w:hAnsi="微软雅黑" w:cs="宋体" w:hint="eastAsia"/>
          <w:b/>
          <w:bCs/>
          <w:color w:val="555555"/>
          <w:kern w:val="36"/>
          <w:sz w:val="30"/>
          <w:szCs w:val="30"/>
        </w:rPr>
        <w:t>管理条例</w:t>
      </w:r>
    </w:p>
    <w:p w:rsidR="006B78F3" w:rsidRDefault="006B78F3" w:rsidP="006B78F3">
      <w:pPr>
        <w:rPr>
          <w:rFonts w:hint="eastAsia"/>
        </w:rPr>
      </w:pPr>
      <w:bookmarkStart w:id="0" w:name="_GoBack"/>
      <w:bookmarkEnd w:id="0"/>
    </w:p>
    <w:p w:rsidR="006B78F3" w:rsidRDefault="006B78F3" w:rsidP="006B78F3">
      <w:pPr>
        <w:ind w:firstLineChars="200" w:firstLine="420"/>
        <w:rPr>
          <w:rFonts w:hint="eastAsia"/>
        </w:rPr>
      </w:pPr>
      <w:r w:rsidRPr="006B78F3">
        <w:rPr>
          <w:rFonts w:hint="eastAsia"/>
        </w:rPr>
        <w:t>根据教育部关于教育部重点实验室开放基金项目管理的有关规定，借鉴北京大学相关国家重点实验室近几年来实行开放课题资助的管理经验，</w:t>
      </w:r>
      <w:r>
        <w:rPr>
          <w:rFonts w:hint="eastAsia"/>
        </w:rPr>
        <w:t>为了进一步促进承担课题的研究人员有序的开展研究工作，对</w:t>
      </w:r>
      <w:proofErr w:type="gramStart"/>
      <w:r>
        <w:rPr>
          <w:rFonts w:hint="eastAsia"/>
        </w:rPr>
        <w:t>本开放</w:t>
      </w:r>
      <w:proofErr w:type="gramEnd"/>
      <w:r>
        <w:rPr>
          <w:rFonts w:hint="eastAsia"/>
        </w:rPr>
        <w:t>基金项目的使用管理特作如下规定：</w:t>
      </w:r>
    </w:p>
    <w:p w:rsidR="006B78F3" w:rsidRDefault="006B78F3" w:rsidP="006B78F3"/>
    <w:p w:rsidR="006B78F3" w:rsidRDefault="006B78F3" w:rsidP="006B78F3">
      <w:pPr>
        <w:rPr>
          <w:rFonts w:hint="eastAsia"/>
        </w:rPr>
      </w:pPr>
      <w:r>
        <w:rPr>
          <w:rFonts w:hint="eastAsia"/>
        </w:rPr>
        <w:t xml:space="preserve">1. </w:t>
      </w:r>
      <w:r>
        <w:rPr>
          <w:rFonts w:hint="eastAsia"/>
        </w:rPr>
        <w:t>凡得到本基金资助的项目，需在项目截止日期前使用</w:t>
      </w:r>
      <w:proofErr w:type="gramStart"/>
      <w:r>
        <w:rPr>
          <w:rFonts w:hint="eastAsia"/>
        </w:rPr>
        <w:t>本开放</w:t>
      </w:r>
      <w:proofErr w:type="gramEnd"/>
      <w:r>
        <w:rPr>
          <w:rFonts w:hint="eastAsia"/>
        </w:rPr>
        <w:t>基金。</w:t>
      </w:r>
      <w:proofErr w:type="gramStart"/>
      <w:r>
        <w:rPr>
          <w:rFonts w:hint="eastAsia"/>
        </w:rPr>
        <w:t>若项目</w:t>
      </w:r>
      <w:proofErr w:type="gramEnd"/>
      <w:r>
        <w:rPr>
          <w:rFonts w:hint="eastAsia"/>
        </w:rPr>
        <w:t>截止日期前尚未使用基金，视为放弃</w:t>
      </w:r>
      <w:proofErr w:type="gramStart"/>
      <w:r>
        <w:rPr>
          <w:rFonts w:hint="eastAsia"/>
        </w:rPr>
        <w:t>本开放</w:t>
      </w:r>
      <w:proofErr w:type="gramEnd"/>
      <w:r>
        <w:rPr>
          <w:rFonts w:hint="eastAsia"/>
        </w:rPr>
        <w:t>基金资助。</w:t>
      </w:r>
    </w:p>
    <w:p w:rsidR="006B78F3" w:rsidRDefault="006B78F3" w:rsidP="006B78F3"/>
    <w:p w:rsidR="006B78F3" w:rsidRPr="006B78F3" w:rsidRDefault="006B78F3" w:rsidP="006B78F3">
      <w:pPr>
        <w:rPr>
          <w:rFonts w:hint="eastAsia"/>
          <w:color w:val="FF0000"/>
        </w:rPr>
      </w:pPr>
      <w:r>
        <w:rPr>
          <w:rFonts w:hint="eastAsia"/>
        </w:rPr>
        <w:t xml:space="preserve">2. </w:t>
      </w:r>
      <w:r>
        <w:rPr>
          <w:rFonts w:hint="eastAsia"/>
        </w:rPr>
        <w:t>按照我室规定，每年</w:t>
      </w:r>
      <w:r w:rsidRPr="006B78F3">
        <w:rPr>
          <w:rFonts w:hint="eastAsia"/>
          <w:color w:val="FF0000"/>
        </w:rPr>
        <w:t>6</w:t>
      </w:r>
      <w:r>
        <w:rPr>
          <w:rFonts w:hint="eastAsia"/>
        </w:rPr>
        <w:t>月</w:t>
      </w:r>
      <w:r>
        <w:rPr>
          <w:rFonts w:hint="eastAsia"/>
        </w:rPr>
        <w:t>将批准资助金额的</w:t>
      </w:r>
      <w:r>
        <w:rPr>
          <w:rFonts w:hint="eastAsia"/>
        </w:rPr>
        <w:t>50%</w:t>
      </w:r>
      <w:r>
        <w:rPr>
          <w:rFonts w:hint="eastAsia"/>
        </w:rPr>
        <w:t>拨出，年底将剩余部分全部拨出。申请者应在财政制度规定的范围内，按照工作计划合理安排支配研究经费。可用于支付课题研究的文献资料费、实验材料费、测试费、加工费、差旅费等费用。</w:t>
      </w:r>
      <w:r w:rsidRPr="006B78F3">
        <w:rPr>
          <w:rFonts w:hint="eastAsia"/>
          <w:color w:val="FF0000"/>
        </w:rPr>
        <w:t>不得用于</w:t>
      </w:r>
      <w:r w:rsidRPr="006B78F3">
        <w:rPr>
          <w:rFonts w:hint="eastAsia"/>
          <w:color w:val="FF0000"/>
        </w:rPr>
        <w:t>人员费</w:t>
      </w:r>
      <w:r w:rsidRPr="006B78F3">
        <w:rPr>
          <w:color w:val="FF0000"/>
        </w:rPr>
        <w:t>的发放及</w:t>
      </w:r>
      <w:r w:rsidRPr="006B78F3">
        <w:rPr>
          <w:rFonts w:hint="eastAsia"/>
          <w:color w:val="FF0000"/>
        </w:rPr>
        <w:t>支付其它与项目无关的费用。</w:t>
      </w:r>
    </w:p>
    <w:p w:rsidR="006B78F3" w:rsidRPr="006B78F3" w:rsidRDefault="006B78F3" w:rsidP="006B78F3"/>
    <w:p w:rsidR="006B78F3" w:rsidRDefault="006B78F3" w:rsidP="006B78F3">
      <w:pPr>
        <w:rPr>
          <w:rFonts w:hint="eastAsia"/>
        </w:rPr>
      </w:pPr>
      <w:r>
        <w:rPr>
          <w:rFonts w:hint="eastAsia"/>
        </w:rPr>
        <w:t xml:space="preserve">3. </w:t>
      </w:r>
      <w:r>
        <w:rPr>
          <w:rFonts w:hint="eastAsia"/>
        </w:rPr>
        <w:t>本实验室有权了解研究者的工作进展和经费使用情况，对难以继续完成任务者，将限期整改或停止资助。</w:t>
      </w:r>
    </w:p>
    <w:p w:rsidR="006B78F3" w:rsidRDefault="006B78F3" w:rsidP="006B78F3"/>
    <w:p w:rsidR="006B78F3" w:rsidRDefault="006B78F3" w:rsidP="006B78F3">
      <w:pPr>
        <w:rPr>
          <w:rFonts w:hint="eastAsia"/>
        </w:rPr>
      </w:pPr>
      <w:r>
        <w:rPr>
          <w:rFonts w:hint="eastAsia"/>
        </w:rPr>
        <w:t xml:space="preserve">4. </w:t>
      </w:r>
      <w:r>
        <w:rPr>
          <w:rFonts w:hint="eastAsia"/>
        </w:rPr>
        <w:t>申请者应在研究中期向本室提交工作进展及经费开支情况报告；在课题结束时须填写《北京大学</w:t>
      </w:r>
      <w:r>
        <w:rPr>
          <w:rFonts w:hint="eastAsia"/>
        </w:rPr>
        <w:t>分子心血管学</w:t>
      </w:r>
      <w:r>
        <w:t>教育</w:t>
      </w:r>
      <w:r>
        <w:rPr>
          <w:rFonts w:hint="eastAsia"/>
        </w:rPr>
        <w:t>部</w:t>
      </w:r>
      <w:r>
        <w:rPr>
          <w:rFonts w:hint="eastAsia"/>
        </w:rPr>
        <w:t>重点实验室开放基金项目结题报告》，并将结题报告的电子版发给指定电子信箱。对本基金项目所取得的专利、经济效益等其它成果需在结题报告中向实验室汇报。</w:t>
      </w:r>
    </w:p>
    <w:p w:rsidR="006B78F3" w:rsidRDefault="006B78F3" w:rsidP="006B78F3"/>
    <w:p w:rsidR="006B78F3" w:rsidRDefault="006B78F3" w:rsidP="006B78F3">
      <w:pPr>
        <w:rPr>
          <w:rFonts w:hint="eastAsia"/>
        </w:rPr>
      </w:pPr>
      <w:r>
        <w:rPr>
          <w:rFonts w:hint="eastAsia"/>
        </w:rPr>
        <w:t xml:space="preserve">5. </w:t>
      </w:r>
      <w:r>
        <w:rPr>
          <w:rFonts w:hint="eastAsia"/>
        </w:rPr>
        <w:t>按</w:t>
      </w:r>
      <w:r>
        <w:rPr>
          <w:rFonts w:hint="eastAsia"/>
        </w:rPr>
        <w:t>开放</w:t>
      </w:r>
      <w:r>
        <w:t>课题</w:t>
      </w:r>
      <w:r>
        <w:rPr>
          <w:rFonts w:hint="eastAsia"/>
        </w:rPr>
        <w:t>要求，凡接受实验室基金资助的项目</w:t>
      </w:r>
      <w:r w:rsidR="00C25365">
        <w:rPr>
          <w:rFonts w:hint="eastAsia"/>
        </w:rPr>
        <w:t>发表文章时</w:t>
      </w:r>
      <w:r>
        <w:rPr>
          <w:rFonts w:hint="eastAsia"/>
        </w:rPr>
        <w:t>应在</w:t>
      </w:r>
      <w:r w:rsidR="00C25365">
        <w:rPr>
          <w:rFonts w:hint="eastAsia"/>
        </w:rPr>
        <w:t>完成单位处标注</w:t>
      </w:r>
      <w:r>
        <w:rPr>
          <w:rFonts w:hint="eastAsia"/>
        </w:rPr>
        <w:t>“北京大学</w:t>
      </w:r>
      <w:r>
        <w:rPr>
          <w:rFonts w:hint="eastAsia"/>
        </w:rPr>
        <w:t>分子心血管</w:t>
      </w:r>
      <w:r w:rsidR="00C25365">
        <w:rPr>
          <w:rFonts w:hint="eastAsia"/>
        </w:rPr>
        <w:t>学</w:t>
      </w:r>
      <w:r>
        <w:rPr>
          <w:rFonts w:hint="eastAsia"/>
        </w:rPr>
        <w:t>教育部</w:t>
      </w:r>
      <w:r>
        <w:rPr>
          <w:rFonts w:hint="eastAsia"/>
        </w:rPr>
        <w:t>重点实验室”</w:t>
      </w:r>
      <w:r>
        <w:rPr>
          <w:rFonts w:hint="eastAsia"/>
        </w:rPr>
        <w:t>(</w:t>
      </w:r>
      <w:r>
        <w:rPr>
          <w:rFonts w:hint="eastAsia"/>
        </w:rPr>
        <w:t>英文地址为：</w:t>
      </w:r>
      <w:r w:rsidRPr="006B78F3">
        <w:t>Key Laboratory of Molecular Cardiovascular Sciences, Ministry of Education, Peking University Health Science Center</w:t>
      </w:r>
      <w:r>
        <w:rPr>
          <w:rFonts w:hint="eastAsia"/>
        </w:rPr>
        <w:t>)</w:t>
      </w:r>
      <w:r>
        <w:rPr>
          <w:rFonts w:hint="eastAsia"/>
        </w:rPr>
        <w:t>。</w:t>
      </w:r>
    </w:p>
    <w:p w:rsidR="006B78F3" w:rsidRDefault="006B78F3" w:rsidP="006B78F3"/>
    <w:p w:rsidR="00124E5C" w:rsidRPr="00C25365" w:rsidRDefault="00C25365" w:rsidP="006B78F3"/>
    <w:sectPr w:rsidR="00124E5C" w:rsidRPr="00C253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F3"/>
    <w:rsid w:val="00226248"/>
    <w:rsid w:val="006B78F3"/>
    <w:rsid w:val="00C25365"/>
    <w:rsid w:val="00F55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3F695-CA85-4B4F-A80D-B6897841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6B78F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B78F3"/>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99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2021-07-06T06:05:00Z</dcterms:created>
  <dcterms:modified xsi:type="dcterms:W3CDTF">2021-07-06T06:18:00Z</dcterms:modified>
</cp:coreProperties>
</file>